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132 vom 3. Mai 1974</w:t>
      </w:r>
    </w:p>
    <w:p>
      <w:r>
        <w:t>Bundesgericht (BGE), 1974-05-03, DE</w:t>
      </w:r>
    </w:p>
    <w:p>
      <w:r>
        <w:rPr>
          <w:b/>
        </w:rPr>
        <w:t xml:space="preserve">Quelle: </w:t>
      </w:r>
      <w:r>
        <w:t>https://mcp.opencaselaw.ch/entscheid/bge_100 IB 132</w:t>
      </w:r>
    </w:p>
    <w:p>
      <w:r>
        <w:t>FR: BGE 100 IB 132 du 3 mai 1974</w:t>
      </w:r>
    </w:p>
    <w:p>
      <w:r>
        <w:t>IT: BGE 100 IB 132 del 3 maggio 1974</w:t>
      </w:r>
    </w:p>
    <w:p>
      <w:pPr>
        <w:pStyle w:val="Heading2"/>
      </w:pPr>
      <w:r>
        <w:t>Regeste</w:t>
      </w:r>
    </w:p>
    <w:p>
      <w:r>
        <w:t>Regeste Stiftungsaufsicht, Art. 84 Abs. 2 ZGB. 1. Umfang der Aufsichtskompetenz nach Art. 84 Abs. 2 ZGB (Erw. 3). 2. Der Ort des Sitzes einer Stiftung ist für die Bestimmung der örtlichen Zuständigkeit der Aufsichtsbehörde nicht allein entscheidend (Erw. 4).</w:t>
      </w:r>
    </w:p>
    <w:p>
      <w:pPr>
        <w:pStyle w:val="Heading2"/>
      </w:pPr>
      <w:r>
        <w:t>Erwägungen</w:t>
      </w:r>
    </w:p>
    <w:p>
      <w:r>
        <w:rPr>
          <w:b/>
        </w:rPr>
        <w:t>E. 3</w:t>
      </w:r>
    </w:p>
    <w:p>
      <w:r>
        <w:t>Nach Art. 84 Abs. 2 ZGB hat die Aufsichtsbehörde dafür zu sorgen, dass das Stiftungsvermögen seinen vom Stifter grundsätzlich frei bestimmbaren Zwecken gemäss verwendet wird (BGE 99 I/b 258/259 Erw. 3). Dies schliesst die BGE 100 Ib 132 S. 135 Befugnis ein, dafür zu sorgen, dass der Stiftungsrat die Stiftungsurkunde und allfällige Reglemente beachtet und allfälliges Ermessen nicht überschreitet oder missbraucht (unveröffentlichtes Urteil vom 6. April 1960 i.S. Pensionsfonds der Angestellten der Henkel &amp; Cie AG, Erw. 3, 4 und 5). Die Aufsichtsbehörde kann im Rahmen dieser Befugnis nicht nur die Korrektur bestimmter mit dem Stiftungszweck in Widerspruch stehender Handlungen der Stiftungsorgane erzwingen (BGE 99 I/b 259 Erw. 4), sondern durch verbindliche Weisungen auch vorbeugend eingreifen (zit. Urteil i.S. Pensionsfonds der Angestellten der Henkel &amp; Cie AG, Erw. 4). Die Stiftungsaufsicht nach Art. 84 Abs. 2 ZGB ist aber keine Vormundschaft. Die Stiftung ist grundsätzlich voll handlungsfähig (vgl. EGGER, Kommentar zu Art. 84 ZGB N. 7; MAX GUTZWILLER, Schweiz. Privatrecht II S. 616). Die Aufsichtsbehörde muss dem Stiftungsrat deshalb eine gewisse Handlungsfreiheit lassen. Sie darf grundsätzlich nicht einfach an Stelle des Stiftungsrates handeln. In reinen Ermessensfragen hat sie sich zurückzuhalten. Im übrigen bestimmt sich der Umfang der Aufsichtsbefugnisse nach den Umständen des Einzelfalles.</w:t>
      </w:r>
    </w:p>
    <w:p>
      <w:r>
        <w:rPr>
          <w:b/>
        </w:rPr>
        <w:t>E. 4</w:t>
      </w:r>
    </w:p>
    <w:p>
      <w:r>
        <w:t>Die Beschwerdeführerin ersucht das Bundesgericht, der Verlegung ihres Sitzes von Basel nach Olten zuzustimmen. Zur Begründung dieses Antrages verweist sie einzig auf den Brief, den die USEGO AG am 28. Februar 1973 an die Aufsichtsbehörde gerichtet hat. Die USEGO AG hat darin ausgeführt, die Stiftung werde schon seit Jahren von Olten aus verwaltet; aus dem Umstand, dass der Sitz der Stiftung im Jahre 1968 in Basel belassen wurde, könne nichts abgeleitet werden; die Verlegung des Sitzes an den Ort der tatsächlichen Verwaltung der Stiftung gewährleiste enge und wirksame Kontakte zwischen der Stiftung und der Aufsichtsbehörde; der Verkehr mit den Amtsstellen sei im Normalfalle grösser als der Verkehr mit den Destinatären; die Zustimmung zur Sitzverlegung könne in Anbetracht von § 2 der Stiftungsurkunde nur verweigert werden, "wenn z.B. der Stiftungszweck beeinträchtigt würde oder Gefahr für das Vermögen bestünde". Die Vorinstanz hat die Verweigerung der Zustimmung zur Sitzverlegung damit begründet, dass die Umstände des Falles den Anschein erweckten, die Sitzverlegung bezwecke BGE 100 Ib 132 S. 136 lediglich, die Weisungen des baselstädtischen Justizdepartementes zu umgehen; ausserdem liege es im Interesse der Destinatäre, die mehrheitlich in Basel und Umgebung wohnten, sich nötigenfalls an die nächstgelegene Aufsichtsbehörde wenden zu können. Aus den Darlegungen, auf die sich die Beschwerdeführerin zur Begründung ihres Begehrens beruft, ergibt sich, dass sie nicht so sehr eine Sitzverlegung als solche beabsichtigt, als vielmehr einen Wechsel der Aufsichtsbehörde. Nun können aber weder der Stifter noch die Stiftungsorgane bestimmen, welcher Aufsichtsbehörde die Stiftung unterstehen soll, wird die zuständige Aufsichtsbehörde doch vom Gesetze bezeichnet ( Art. 84 Abs. 1 ZGB , HAFTER, Kommentar zu Art. 84 ZGB N.11). Nach Art. 84 Abs. 1 ZGB stehen die Stiftungen unter der Aufsicht des Gemeinwesens, dem sie nach ihrer Bestimmung angehören. Ist der Zweck der Stiftung durch den Kreis der Destinatäre örtlich begrenzt, so ist diese örtliche Begrenzung für die Bestimmung des zuständigen Gemeinwesens massgebend. Bei Personalfürsorgestiftungen kommt es in erster Linie darauf an, wo sich der Sitz der Unternehmung befindet (EGGER, Kommentar zu Art. 84 ZGB N. 4 und 5). Der Ort des Sitzes der Stiftung selbst ist hingegen für sich allein nicht entscheidend. Im vorliegenden Falle sprechen zwei Umstände dafür, dass die Stiftung der Aufsicht des Kantons Basel-Stadt untersteht. Die Destinatäre der Stiftung sind ehemalige Arbeitnehmer von heute nicht mehr bestehenden Unternehmungen, die ihren Sitz in Basel hatten, und die Mehrzahl von ihnen wohnt unbestrittenermassen noch heute im Kanton Basel-Stadt. Zwar wird die Stiftung heute tatsächlich von Olten aus verwaltet. Dies vermag aber für sich allein die Zuordnung, die sich aus dem Zweck der Stiftung ergibt, nicht in Frage zu stellen. Anders wäre höchstens zu entscheiden, wenn damit die Beaufsichtigung der Stiftung übermässig erschwert und vielleicht ihrer Wirkung beraubt würde. Dies trifft aber nicht zu, übt die Stiftung doch lediglich eine beschränkte und einfache Tätigkeit aus, deren Überwachung ohnehin keine besonderen Schwierigkeiten verursachen kann. Die Verlegung des Stiftungssitzes von Basel nach Olten würde, wie gesehen, nicht ohne weiteres bewirken, dass künftig statt dem Kanton Basel-Stadt der Kanton Solothurn die BGE 100 Ib 132 S. 137 Aufsicht über die Stiftung auszuüben hätte. Sollte die Beschwerdeführerin ihren Sitz dennoch nach Olten verlegen wollen und damit einverstanden sein, weiterhin der Aufsicht des Kantons Basel-Stadt zu unterliegen, so könnte die baselstädtische Aufsichtsbehörde ihr die Zustimmung zur Sitzverlegung wohl kaum noch länger verweigern. Ob die Beschwerdeführerin an einer Sitzverlegung unter diesen Umständen noch Interesse hätte, erscheint allerdings fraglich, es sei denn, steuerliche Erwägungen bewegten sie dazu. Im Sinne dieser Erwägungen muss der Antrag der Beschwerdeführerm, der Verlegung ihres Sitzes nach Olten zuzustimmen,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